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jc w:val="both"/>
      </w:pPr>
      <w:r>
        <w:rPr>
          <w:sz w:val="24"/>
        </w:rPr>
        <w:t xml:space="preserve">При рассмотрении дела </w:t>
      </w:r>
      <w:r>
        <w:rPr>
          <w:sz w:val="24"/>
        </w:rPr>
        <w:t xml:space="preserve">N А19-26238/2019</w:t>
      </w:r>
      <w:r>
        <w:rPr>
          <w:sz w:val="24"/>
        </w:rPr>
        <w:t xml:space="preserve"> судами установлено и в рамках настоящего дела сторонами не оспаривается, что при заключении концессионного соглашения на объекте - комплекс очистных сооружений с. Хомутово - отсутствовало необходимое инженерное оборудование для проведения очистки поступающих по канализационным сетям сточных вод, при этом имеющееся оборудование не могло быть использовано для эксплуатации и не подлежало восстановлению.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  <w:highlight w:val="yellow"/>
        </w:rPr>
        <w:t xml:space="preserve">истцом расходы на оплату услуг стороннего лица по транспортировке сточных вод на очистные сооружения г. Иркутска являлись для него дополнительными и вынужденными расходами. При этом в силу положений действующего законодательства указанные расходы не были и не могли быть учтены при установлении тарифа на водоотведение и, по сути, являлись для истца прямыми убытками (что также отражено и в судебных актах по делу </w:t>
      </w:r>
      <w:r>
        <w:rPr>
          <w:sz w:val="24"/>
          <w:highlight w:val="yellow"/>
        </w:rPr>
        <w:t xml:space="preserve">N А19-26238/2019</w:t>
      </w:r>
      <w:r>
        <w:rPr>
          <w:sz w:val="24"/>
          <w:highlight w:val="yellow"/>
        </w:rPr>
        <w:t xml:space="preserve">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 учетом изложенного, понесенные 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таких обстоятельствах выводы судов об обоснованности требования, предъявленного истцом к ответчику как собственнику этого имущества, являются правильными.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Ссылки ответчика на то, что по условиям концессионного соглашения от 27.06.2014 истец был обязан выполнять мероприятия по реконструкции (модернизации) переданного имущества, судами рассмотрены и обоснованно отклонены, поскольку являющиеся предметом настоящего спора расходы понесены истцом в связи с осуществлением транспортировки сточных вод в период после заключения сторонами дополнительного соглашения от 01.07.2019 N 5 об исключении объектов системы водоотведения с. Хомутово из перечня объектов концессионного соглашения и в условиях последующего признания незаконным решения УФАС по Иркутской области от 16.10.2019 N 038/4946/19 об отказе в согласовании изменения условий этого соглашения.</w:t>
      </w:r>
    </w:p>
    <w:p>
      <w:pPr>
        <w:pStyle w:val="0"/>
      </w:pPr>
      <w:hyperlink w:history="0" r:id="rId3" w:tooltip="Постановление Арбитражного суда Восточно-Сибирского округа от 12.10.2022 N Ф02-4608/2022 по делу N А19-2878/2022 Требование: О взыскании убытков, возникших в связи с оплатой услуг по транспортировке жидких бытовых отходов. Обстоятельства: Концессионер ссылается на то, что с учетом изменившейся схемы водоотведения он производил транспортировку сточных вод, поступающих по канализационным сетям на канализационную насосную станцию и в накопительные емкости, автомобильным транспортом на очистные сооружения город {КонсультантПлюс}">
        <w:r>
          <w:rPr>
            <w:sz w:val="24"/>
            <w:color w:val="0000ff"/>
            <w:i w:val="on"/>
          </w:rPr>
          <w:br/>
          <w:t xml:space="preserve">{Постановление Арбитражного суда Восточно-Сибирского округа от 12.10.2022 N Ф02-4608/2022 по делу N А19-2878/2022 {КонсультантПлюс}}</w:t>
        </w:r>
      </w:hyperlink>
      <w:r>
        <w:rPr>
          <w:sz w:val="24"/>
        </w:rPr>
        <w:br/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hyperlink" Target="https://login.consultant.ru/link/?req=doc&amp;base=AVS&amp;n=121066&amp;date=16.12.2025&amp;dst=100041&amp;field=134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Арбитражного суда Восточно-Сибирского округа от 12.10.2022 N Ф02-4608/2022 по делу N А19-2878/2022
Требование: О взыскании убытков, возникших в связи с оплатой услуг по транспортировке жидких бытовых отходов.
Обстоятельства: Концессионер ссылается на то, что с учетом изменившейся схемы водоотведения он производил транспортировку сточных вод, поступающих по канализационным сетям на канализационную насосную станцию и в накопительные емкости, автомобильным транспортом на очистные сооружения город</dc:title>
  <dcterms:created xsi:type="dcterms:W3CDTF">2025-12-16T04:31:39Z</dcterms:created>
</cp:coreProperties>
</file>